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0" w:space="0" w:color="FFF9EF"/>
          <w:left w:val="single" w:sz="0" w:space="0" w:color="FFF9EF"/>
          <w:bottom w:val="single" w:sz="0" w:space="0" w:color="FFF9EF"/>
          <w:right w:val="single" w:sz="0" w:space="0" w:color="FFF9EF"/>
          <w:insideH w:val="single" w:sz="0" w:space="0" w:color="FFF9EF"/>
          <w:insideV w:val="single" w:sz="0" w:space="0" w:color="FFF9EF"/>
        </w:tblBorders>
      </w:tblPr>
      <w:tblGrid>
        <w:gridCol w:w="5350"/>
        <w:gridCol w:w="4010"/>
      </w:tblGrid>
      <w:tr>
        <w:tc>
          <w:tcPr>
            <w:tcW w:type="dxa" w:w="535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9EF"/>
          </w:tcPr>
          <w:p>
            <w:pPr>
              <w:spacing w:after="200"/>
            </w:pPr>
            <w:r>
              <w:rPr>
                <w:rFonts w:ascii="Arial" w:hAnsi="Arial"/>
                <w:b/>
                <w:i w:val="0"/>
                <w:color w:val="B67B22"/>
                <w:sz w:val="58"/>
              </w:rPr>
              <w:t>223</w:t>
            </w:r>
            <w:r>
              <w:rPr>
                <w:rFonts w:ascii="Arial" w:hAnsi="Arial"/>
                <w:b/>
                <w:i w:val="0"/>
                <w:color w:val="1D1B18"/>
                <w:sz w:val="58"/>
              </w:rPr>
              <w:t>EXPERT</w:t>
            </w:r>
          </w:p>
          <w:p>
            <w:pPr>
              <w:spacing w:after="140"/>
            </w:pPr>
            <w:r>
              <w:rPr>
                <w:rFonts w:ascii="Arial" w:hAnsi="Arial"/>
                <w:b/>
                <w:i w:val="0"/>
                <w:color w:val="A9711C"/>
                <w:sz w:val="20"/>
              </w:rPr>
              <w:t>ДЕМОНСТРАЦИОННЫЙ ДОКУМЕНТ</w:t>
            </w:r>
          </w:p>
          <w:p>
            <w:pPr>
              <w:spacing w:after="80"/>
            </w:pPr>
            <w:r>
              <w:rPr>
                <w:rFonts w:ascii="Arial" w:hAnsi="Arial"/>
                <w:b/>
                <w:i w:val="0"/>
                <w:color w:val="1D1B18"/>
                <w:sz w:val="38"/>
              </w:rPr>
              <w:t>ЗАЯВКА</w:t>
            </w:r>
          </w:p>
          <w:p>
            <w:pPr>
              <w:spacing w:after="80"/>
            </w:pPr>
            <w:r>
              <w:rPr>
                <w:rFonts w:ascii="Arial" w:hAnsi="Arial"/>
                <w:b w:val="0"/>
                <w:i w:val="0"/>
                <w:color w:val="1D1B18"/>
                <w:sz w:val="26"/>
              </w:rPr>
              <w:t>Поставка спецодежды и СИЗ для производственных бригад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7"/>
              </w:rPr>
              <w:t>DEMO-CASE-04 · Многопозиционные товары</w:t>
            </w:r>
          </w:p>
        </w:tc>
        <w:tc>
          <w:tcPr>
            <w:tcW w:type="dxa" w:w="401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FF9EF"/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743200" cy="164026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23expert-document-gold-rings-v1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64026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"/>
      </w:pP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2500"/>
        <w:gridCol w:w="6860"/>
      </w:tblGrid>
      <w:tr>
        <w:trPr>
          <w:tblHeader w:val="true"/>
        </w:trPr>
        <w:tc>
          <w:tcPr>
            <w:tcW w:type="dxa" w:w="25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Показатель</w:t>
            </w:r>
          </w:p>
        </w:tc>
        <w:tc>
          <w:tcPr>
            <w:tcW w:type="dxa" w:w="68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Значение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Заказчик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АО «ДЕМО-ПРОМ»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Предмет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Поставка спецодежды и СИЗ для производственных бригад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Место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центральный склад Demo-организации, Екатеринбург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Срок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35 календарных дней; две партии по размерной матрице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Способ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Запрос предложений в электронной форме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НМЦК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2 495 000 ₽, включая НДС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1. </w:t>
      </w:r>
      <w:r>
        <w:rPr>
          <w:rFonts w:ascii="Arial" w:hAnsi="Arial"/>
          <w:b/>
          <w:i w:val="0"/>
          <w:color w:val="A9711C"/>
          <w:sz w:val="26"/>
        </w:rPr>
        <w:t>ОБЩИЕ СВЕДЕНИЯ И ПОТРЕБНОСТЬ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Подразделение охраны труда и производства фиксирует потребность в закупке «Поставка спецодежды и СИЗ для производственных бригад». Результат нужен для непрерывной работы подразделения и планируется на центральный склад Demo-организации, Екатеринбург в срок 35 календарных дней; две партии по размерной матрице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2. </w:t>
      </w:r>
      <w:r>
        <w:rPr>
          <w:rFonts w:ascii="Arial" w:hAnsi="Arial"/>
          <w:b/>
          <w:i w:val="0"/>
          <w:color w:val="A9711C"/>
          <w:sz w:val="26"/>
        </w:rPr>
        <w:t>ПРЕДМЕТ, ОБЪЕМ И ХАРАКТЕРИСТИКИ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Закупка включает 8 позиций спецодежды и СИЗ, 286 единиц. Указанные объемы являются плановой потребностью одной закупки и связаны с таблицей позиций ниже.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3. </w:t>
      </w:r>
      <w:r>
        <w:rPr>
          <w:rFonts w:ascii="Arial" w:hAnsi="Arial"/>
          <w:b/>
          <w:i w:val="0"/>
          <w:color w:val="A9711C"/>
          <w:sz w:val="26"/>
        </w:rPr>
        <w:t>УСЛОВИЯ ИСПОЛНЕНИЯ И ПРИЕМКИ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Приемка проводится на центральный склад Demo-организации, Екатеринбург комиссией Заказчика по количеству, комплектности, заявленным характеристикам и документам. Срок первичной проверки — 5 рабочих дня.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4. </w:t>
      </w:r>
      <w:r>
        <w:rPr>
          <w:rFonts w:ascii="Arial" w:hAnsi="Arial"/>
          <w:b/>
          <w:i w:val="0"/>
          <w:color w:val="A9711C"/>
          <w:sz w:val="26"/>
        </w:rPr>
        <w:t>ГАРАНТИЯ, СЕРВИС И ОСОБЫЕ ТРЕБОВАНИЯ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Гарантия на изделия — 12 месяцев. Ошибочный размер обменивается в течение 10 рабочих дней при сохранении маркировки; дефектная единица заменяется в течение 15 рабочих дней.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5. </w:t>
      </w:r>
      <w:r>
        <w:rPr>
          <w:rFonts w:ascii="Arial" w:hAnsi="Arial"/>
          <w:b/>
          <w:i w:val="0"/>
          <w:color w:val="A9711C"/>
          <w:sz w:val="26"/>
        </w:rPr>
        <w:t>БЮДЖЕТ, СТОИМОСТЬ И ОПЛАТА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Плановый бюджет — 2 495 000 ₽. В цену включаются расходы исполнителя, налоги, доставка/выезды и передача документов. Оплата — в течение 10 рабочих дней после приемки.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6. </w:t>
      </w:r>
      <w:r>
        <w:rPr>
          <w:rFonts w:ascii="Arial" w:hAnsi="Arial"/>
          <w:b/>
          <w:i w:val="0"/>
          <w:color w:val="A9711C"/>
          <w:sz w:val="26"/>
        </w:rPr>
        <w:t>ПОСТАВЩИК, РЫНОК И СПОСОБ ЗАКУПКИ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Рынок проверяется по трем сопоставимым фиктивным коммерческим предложениям с фиксацией технических и коммерческих условий. Выбран запрос предложений, поскольку Заказчику нужны сопоставимые ответы по нескольким обязательным параметрам.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7. </w:t>
      </w:r>
      <w:r>
        <w:rPr>
          <w:rFonts w:ascii="Arial" w:hAnsi="Arial"/>
          <w:b/>
          <w:i w:val="0"/>
          <w:color w:val="A9711C"/>
          <w:sz w:val="26"/>
        </w:rPr>
        <w:t>УСЛОВИЯ ДОГОВОРА И РИСКИ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Риски несоответствия защитных свойств, размера и маркировки партии. Они закрываются позиционной матрицей, реестром соответствия и приемкой партии.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  <w:t xml:space="preserve">8. </w:t>
      </w:r>
      <w:r>
        <w:rPr>
          <w:rFonts w:ascii="Arial" w:hAnsi="Arial"/>
          <w:b/>
          <w:i w:val="0"/>
          <w:color w:val="A9711C"/>
          <w:sz w:val="26"/>
        </w:rPr>
        <w:t>МАТЕРИАЛЫ И УТВЕРЖДЕНИЕ</w:t>
      </w:r>
    </w:p>
    <w:p>
      <w:pPr>
        <w:spacing w:after="120" w:line="259" w:lineRule="auto"/>
      </w:pPr>
      <w:r>
        <w:rPr>
          <w:rFonts w:ascii="Arial" w:hAnsi="Arial"/>
          <w:b w:val="0"/>
          <w:i w:val="0"/>
          <w:color w:val="1D1B18"/>
          <w:sz w:val="24"/>
        </w:rPr>
        <w:t>К заявке привязаны техническое задание, форма запроса КП, отчет поиска поставщиков, три предложения, сравнение, обоснование НМЦК и проект договора. Версия заявки — APP-DEMO-CASE-04-v1.</w:t>
      </w: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</w:r>
      <w:r>
        <w:rPr>
          <w:rFonts w:ascii="Arial" w:hAnsi="Arial"/>
          <w:b/>
          <w:i w:val="0"/>
          <w:color w:val="A9711C"/>
          <w:sz w:val="26"/>
        </w:rPr>
        <w:t>ПОЗИЦИИ ЗАЯВКИ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500"/>
        <w:gridCol w:w="2900"/>
        <w:gridCol w:w="1000"/>
        <w:gridCol w:w="900"/>
        <w:gridCol w:w="4060"/>
      </w:tblGrid>
      <w:tr>
        <w:trPr>
          <w:tblHeader w:val="true"/>
        </w:trPr>
        <w:tc>
          <w:tcPr>
            <w:tcW w:type="dxa" w:w="5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№</w:t>
            </w:r>
          </w:p>
        </w:tc>
        <w:tc>
          <w:tcPr>
            <w:tcW w:type="dxa" w:w="29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Позиция</w:t>
            </w:r>
          </w:p>
        </w:tc>
        <w:tc>
          <w:tcPr>
            <w:tcW w:type="dxa" w:w="10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Кол-во</w:t>
            </w:r>
          </w:p>
        </w:tc>
        <w:tc>
          <w:tcPr>
            <w:tcW w:type="dxa" w:w="9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Ед.</w:t>
            </w:r>
          </w:p>
        </w:tc>
        <w:tc>
          <w:tcPr>
            <w:tcW w:type="dxa" w:w="40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Ключевое требование</w:t>
            </w:r>
          </w:p>
        </w:tc>
      </w:tr>
      <w:tr>
        <w:trPr>
          <w:cantSplit/>
        </w:trPr>
        <w:tc>
          <w:tcPr>
            <w:tcW w:type="dxa" w:w="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1</w:t>
            </w:r>
          </w:p>
        </w:tc>
        <w:tc>
          <w:tcPr>
            <w:tcW w:type="dxa" w:w="29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Костюм летний защитный</w:t>
            </w:r>
          </w:p>
        </w:tc>
        <w:tc>
          <w:tcPr>
            <w:tcW w:type="dxa" w:w="10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80</w:t>
            </w:r>
          </w:p>
        </w:tc>
        <w:tc>
          <w:tcPr>
            <w:tcW w:type="dxa" w:w="9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компл.</w:t>
            </w:r>
          </w:p>
        </w:tc>
        <w:tc>
          <w:tcPr>
            <w:tcW w:type="dxa" w:w="40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смесовая ткань, размеры 44–60</w:t>
            </w:r>
          </w:p>
        </w:tc>
      </w:tr>
      <w:tr>
        <w:trPr>
          <w:cantSplit/>
        </w:trPr>
        <w:tc>
          <w:tcPr>
            <w:tcW w:type="dxa" w:w="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2</w:t>
            </w:r>
          </w:p>
        </w:tc>
        <w:tc>
          <w:tcPr>
            <w:tcW w:type="dxa" w:w="29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Костюм утепленный</w:t>
            </w:r>
          </w:p>
        </w:tc>
        <w:tc>
          <w:tcPr>
            <w:tcW w:type="dxa" w:w="10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60</w:t>
            </w:r>
          </w:p>
        </w:tc>
        <w:tc>
          <w:tcPr>
            <w:tcW w:type="dxa" w:w="9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компл.</w:t>
            </w:r>
          </w:p>
        </w:tc>
        <w:tc>
          <w:tcPr>
            <w:tcW w:type="dxa" w:w="40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утеплитель, размеры 44–60</w:t>
            </w:r>
          </w:p>
        </w:tc>
      </w:tr>
      <w:tr>
        <w:trPr>
          <w:cantSplit/>
        </w:trPr>
        <w:tc>
          <w:tcPr>
            <w:tcW w:type="dxa" w:w="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3</w:t>
            </w:r>
          </w:p>
        </w:tc>
        <w:tc>
          <w:tcPr>
            <w:tcW w:type="dxa" w:w="29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Ботинки защитные</w:t>
            </w:r>
          </w:p>
        </w:tc>
        <w:tc>
          <w:tcPr>
            <w:tcW w:type="dxa" w:w="10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70</w:t>
            </w:r>
          </w:p>
        </w:tc>
        <w:tc>
          <w:tcPr>
            <w:tcW w:type="dxa" w:w="9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пар</w:t>
            </w:r>
          </w:p>
        </w:tc>
        <w:tc>
          <w:tcPr>
            <w:tcW w:type="dxa" w:w="40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подносок, подошва, размеры 39–46</w:t>
            </w:r>
          </w:p>
        </w:tc>
      </w:tr>
      <w:tr>
        <w:trPr>
          <w:cantSplit/>
        </w:trPr>
        <w:tc>
          <w:tcPr>
            <w:tcW w:type="dxa" w:w="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4</w:t>
            </w:r>
          </w:p>
        </w:tc>
        <w:tc>
          <w:tcPr>
            <w:tcW w:type="dxa" w:w="29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Каска защитная</w:t>
            </w:r>
          </w:p>
        </w:tc>
        <w:tc>
          <w:tcPr>
            <w:tcW w:type="dxa" w:w="10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76</w:t>
            </w:r>
          </w:p>
        </w:tc>
        <w:tc>
          <w:tcPr>
            <w:tcW w:type="dxa" w:w="9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шт.</w:t>
            </w:r>
          </w:p>
        </w:tc>
        <w:tc>
          <w:tcPr>
            <w:tcW w:type="dxa" w:w="40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регулировка, подбородочный ремень</w:t>
            </w:r>
          </w:p>
        </w:tc>
      </w:tr>
    </w:tbl>
    <w:p>
      <w:pPr>
        <w:spacing w:after="20"/>
      </w:pPr>
    </w:p>
    <w:p>
      <w:pPr>
        <w:pStyle w:val="Heading2"/>
      </w:pPr>
      <w:r>
        <w:rPr>
          <w:rFonts w:ascii="Arial" w:hAnsi="Arial"/>
          <w:b/>
          <w:i w:val="0"/>
          <w:color w:val="A9711C"/>
          <w:sz w:val="26"/>
        </w:rPr>
      </w:r>
      <w:r>
        <w:rPr>
          <w:rFonts w:ascii="Arial" w:hAnsi="Arial"/>
          <w:b/>
          <w:i w:val="0"/>
          <w:color w:val="A9711C"/>
          <w:sz w:val="26"/>
        </w:rPr>
        <w:t>СВЕДЕНИЯ О ЗАЯВКЕ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2500"/>
        <w:gridCol w:w="6860"/>
      </w:tblGrid>
      <w:tr>
        <w:trPr>
          <w:tblHeader w:val="true"/>
        </w:trPr>
        <w:tc>
          <w:tcPr>
            <w:tcW w:type="dxa" w:w="250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Показатель</w:t>
            </w:r>
          </w:p>
        </w:tc>
        <w:tc>
          <w:tcPr>
            <w:tcW w:type="dxa" w:w="686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  <w:shd w:fill="F7E8C7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Значение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Инициатор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Анна Петрова, руководитель закупочной функции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Дата создания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15 августа 2026 г.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Источник фактов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внутренняя потребность Demo-организации; фиктивные данные</w:t>
            </w:r>
          </w:p>
        </w:tc>
      </w:tr>
      <w:tr>
        <w:trPr>
          <w:cantSplit/>
        </w:trPr>
        <w:tc>
          <w:tcPr>
            <w:tcW w:type="dxa" w:w="250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Состояние</w:t>
            </w:r>
          </w:p>
        </w:tc>
        <w:tc>
          <w:tcPr>
            <w:tcW w:type="dxa" w:w="6860"/>
          </w:tcPr>
          <w:p>
            <w:pPr>
              <w:spacing w:after="0" w:line="240" w:lineRule="auto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Approved Application Snapshot · APP-DEMO-CASE-04-v1</w:t>
            </w:r>
          </w:p>
        </w:tc>
      </w:tr>
    </w:tbl>
    <w:p>
      <w:pPr>
        <w:spacing w:after="20"/>
      </w:pP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0" w:type="dxa"/>
        <w:tblBorders>
          <w:top w:val="single" w:sz="6" w:space="0" w:color="E6D9C5"/>
          <w:left w:val="single" w:sz="6" w:space="0" w:color="E6D9C5"/>
          <w:bottom w:val="single" w:sz="6" w:space="0" w:color="E6D9C5"/>
          <w:right w:val="single" w:sz="6" w:space="0" w:color="E6D9C5"/>
          <w:insideH w:val="single" w:sz="6" w:space="0" w:color="E6D9C5"/>
          <w:insideV w:val="single" w:sz="6" w:space="0" w:color="E6D9C5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30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Инициатор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 / Ф.И.О. /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9"/>
              </w:rPr>
              <w:t>«___» __________ 2026 г.</w:t>
            </w:r>
          </w:p>
        </w:tc>
        <w:tc>
          <w:tcPr>
            <w:tcW w:type="dxa" w:w="31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30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Руководитель подразделения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 / Ф.И.О. /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9"/>
              </w:rPr>
              <w:t>«___» __________ 2026 г.</w:t>
            </w:r>
          </w:p>
        </w:tc>
        <w:tc>
          <w:tcPr>
            <w:tcW w:type="dxa" w:w="3120"/>
            <w:tcMar>
              <w:top w:w="90" w:type="dxa"/>
              <w:start w:w="120" w:type="dxa"/>
              <w:bottom w:w="90" w:type="dxa"/>
              <w:end w:w="120" w:type="dxa"/>
            </w:tcMar>
            <w:vAlign w:val="center"/>
          </w:tcPr>
          <w:p>
            <w:pPr>
              <w:spacing w:after="300"/>
            </w:pPr>
            <w:r>
              <w:rPr>
                <w:rFonts w:ascii="Arial" w:hAnsi="Arial"/>
                <w:b/>
                <w:i w:val="0"/>
                <w:color w:val="A9711C"/>
                <w:sz w:val="19"/>
              </w:rPr>
              <w:t>Закупочная функция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i w:val="0"/>
                <w:color w:val="1D1B18"/>
                <w:sz w:val="19"/>
              </w:rPr>
              <w:t>________________ / Ф.И.О. /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 w:val="0"/>
                <w:color w:val="6D665D"/>
                <w:sz w:val="19"/>
              </w:rPr>
              <w:t>«___» __________ 2026 г.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35" w:right="893" w:bottom="835" w:left="893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right"/>
    </w:pPr>
    <w:r>
      <w:rPr>
        <w:rFonts w:ascii="Arial" w:hAnsi="Arial"/>
        <w:b w:val="0"/>
        <w:i w:val="0"/>
        <w:color w:val="6D665D"/>
        <w:sz w:val="17"/>
      </w:rPr>
      <w:t xml:space="preserve">223Expert  ·  демонстрационный контур  ·  страница </w:t>
    </w:r>
    <w:r>
      <w:rPr>
        <w:rFonts w:ascii="Arial" w:hAnsi="Arial"/>
        <w:b w:val="0"/>
        <w:i w:val="0"/>
        <w:color w:val="6D665D"/>
        <w:sz w:val="17"/>
      </w:rPr>
      <w:fldChar w:fldCharType="begin"/>
      <w:instrText xml:space="preserve"> PAGE </w:instrText>
      <w:fldChar w:fldCharType="separate">
        <w:t>1</w:t>
      </w:fldCha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/>
        <w:b/>
        <w:i w:val="0"/>
        <w:color w:val="6D665D"/>
        <w:sz w:val="17"/>
      </w:rPr>
      <w:t>223EXPERT  ·  Заявка  ·  DEMO-CASE-04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1D1B18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A9711C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A9711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B67B22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