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0" w:space="0" w:color="FFF9EF"/>
          <w:left w:val="single" w:sz="0" w:space="0" w:color="FFF9EF"/>
          <w:bottom w:val="single" w:sz="0" w:space="0" w:color="FFF9EF"/>
          <w:right w:val="single" w:sz="0" w:space="0" w:color="FFF9EF"/>
          <w:insideH w:val="single" w:sz="0" w:space="0" w:color="FFF9EF"/>
          <w:insideV w:val="single" w:sz="0" w:space="0" w:color="FFF9EF"/>
        </w:tblBorders>
      </w:tblPr>
      <w:tblGrid>
        <w:gridCol w:w="5350"/>
        <w:gridCol w:w="4010"/>
      </w:tblGrid>
      <w:tr>
        <w:tc>
          <w:tcPr>
            <w:tcW w:type="dxa" w:w="53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spacing w:after="200"/>
            </w:pPr>
            <w:r>
              <w:rPr>
                <w:rFonts w:ascii="Arial" w:hAnsi="Arial"/>
                <w:b/>
                <w:i w:val="0"/>
                <w:color w:val="B67B22"/>
                <w:sz w:val="58"/>
              </w:rPr>
              <w:t>223</w:t>
            </w:r>
            <w:r>
              <w:rPr>
                <w:rFonts w:ascii="Arial" w:hAnsi="Arial"/>
                <w:b/>
                <w:i w:val="0"/>
                <w:color w:val="1D1B18"/>
                <w:sz w:val="58"/>
              </w:rPr>
              <w:t>EXPERT</w:t>
            </w:r>
          </w:p>
          <w:p>
            <w:pPr>
              <w:spacing w:after="140"/>
            </w:pPr>
            <w:r>
              <w:rPr>
                <w:rFonts w:ascii="Arial" w:hAnsi="Arial"/>
                <w:b/>
                <w:i w:val="0"/>
                <w:color w:val="A9711C"/>
                <w:sz w:val="20"/>
              </w:rPr>
              <w:t>ДЕМОНСТРАЦИОННЫЙ ДОКУМЕНТ</w:t>
            </w:r>
          </w:p>
          <w:p>
            <w:pPr>
              <w:spacing w:after="80"/>
            </w:pPr>
            <w:r>
              <w:rPr>
                <w:rFonts w:ascii="Arial" w:hAnsi="Arial"/>
                <w:b/>
                <w:i w:val="0"/>
                <w:color w:val="1D1B18"/>
                <w:sz w:val="38"/>
              </w:rPr>
              <w:t>ЗАПРОС КОММЕРЧЕСКИХ ПРЕДЛОЖЕНИЙ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i w:val="0"/>
                <w:color w:val="1D1B18"/>
                <w:sz w:val="26"/>
              </w:rPr>
              <w:t>Техническое обслуживание вентиляции и кондиционирования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7"/>
              </w:rPr>
              <w:t>DEMO-CASE-02 · Регулярная услуга</w:t>
            </w:r>
          </w:p>
        </w:tc>
        <w:tc>
          <w:tcPr>
            <w:tcW w:type="dxa" w:w="401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743200" cy="164026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23expert-document-gold-rings-v1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6402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Заказчик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ООО «ДЕМО-ЭКСПЛУАТАЦИЯ»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Предмет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Техническое обслуживание вентиляции и кондиционирования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Место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производственный комплекс Demo-организации, Санкт-Петербург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12 месяцев с ежемесячной приемкой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Способ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Запрос предложений в электронной форме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НМЦК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2 040 000 ₽, включая НДС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1. </w:t>
      </w:r>
      <w:r>
        <w:rPr>
          <w:rFonts w:ascii="Arial" w:hAnsi="Arial"/>
          <w:b/>
          <w:i w:val="0"/>
          <w:color w:val="A9711C"/>
          <w:sz w:val="26"/>
        </w:rPr>
        <w:t>ИНСТРУКЦИЯ УЧАСТНИКУ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Предложение заполняется по каждой позиции. Цена указывается за единицу и за объем; итог должен совпадать с арифметикой формы. НДС, срок, гарантия, оплата и отклонения указываются явно.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2. </w:t>
      </w:r>
      <w:r>
        <w:rPr>
          <w:rFonts w:ascii="Arial" w:hAnsi="Arial"/>
          <w:b/>
          <w:i w:val="0"/>
          <w:color w:val="A9711C"/>
          <w:sz w:val="26"/>
        </w:rPr>
        <w:t>ФОРМА ОТВЕТА ПО ПОЗИЦИЯМ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450"/>
        <w:gridCol w:w="2200"/>
        <w:gridCol w:w="650"/>
        <w:gridCol w:w="600"/>
        <w:gridCol w:w="1050"/>
        <w:gridCol w:w="1050"/>
        <w:gridCol w:w="700"/>
        <w:gridCol w:w="2660"/>
      </w:tblGrid>
      <w:tr>
        <w:trPr>
          <w:tblHeader w:val="true"/>
        </w:trPr>
        <w:tc>
          <w:tcPr>
            <w:tcW w:type="dxa" w:w="4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№</w:t>
            </w:r>
          </w:p>
        </w:tc>
        <w:tc>
          <w:tcPr>
            <w:tcW w:type="dxa" w:w="22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Позиция</w:t>
            </w:r>
          </w:p>
        </w:tc>
        <w:tc>
          <w:tcPr>
            <w:tcW w:type="dxa" w:w="6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Кол-во</w:t>
            </w:r>
          </w:p>
        </w:tc>
        <w:tc>
          <w:tcPr>
            <w:tcW w:type="dxa" w:w="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Ед.</w:t>
            </w:r>
          </w:p>
        </w:tc>
        <w:tc>
          <w:tcPr>
            <w:tcW w:type="dxa" w:w="10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Цена/ед.</w:t>
            </w:r>
          </w:p>
        </w:tc>
        <w:tc>
          <w:tcPr>
            <w:tcW w:type="dxa" w:w="10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Сумма</w:t>
            </w:r>
          </w:p>
        </w:tc>
        <w:tc>
          <w:tcPr>
            <w:tcW w:type="dxa" w:w="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НДС</w:t>
            </w:r>
          </w:p>
        </w:tc>
        <w:tc>
          <w:tcPr>
            <w:tcW w:type="dxa" w:w="26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Соответствие/отклонение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Регламентное ТО оборудования</w:t>
            </w:r>
          </w:p>
        </w:tc>
        <w:tc>
          <w:tcPr>
            <w:tcW w:type="dxa" w:w="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12</w:t>
            </w:r>
          </w:p>
        </w:tc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мес.</w:t>
            </w:r>
          </w:p>
        </w:tc>
        <w:tc>
          <w:tcPr>
            <w:tcW w:type="dxa" w:w="1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1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7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26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Аварийный выезд</w:t>
            </w:r>
          </w:p>
        </w:tc>
        <w:tc>
          <w:tcPr>
            <w:tcW w:type="dxa" w:w="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12</w:t>
            </w:r>
          </w:p>
        </w:tc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мес.</w:t>
            </w:r>
          </w:p>
        </w:tc>
        <w:tc>
          <w:tcPr>
            <w:tcW w:type="dxa" w:w="1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1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7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26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3. </w:t>
      </w:r>
      <w:r>
        <w:rPr>
          <w:rFonts w:ascii="Arial" w:hAnsi="Arial"/>
          <w:b/>
          <w:i w:val="0"/>
          <w:color w:val="A9711C"/>
          <w:sz w:val="26"/>
        </w:rPr>
        <w:t>КОММЕРЧЕСКИЕ УСЛОВИЯ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3000"/>
        <w:gridCol w:w="6360"/>
      </w:tblGrid>
      <w:tr>
        <w:trPr>
          <w:tblHeader w:val="true"/>
        </w:trPr>
        <w:tc>
          <w:tcPr>
            <w:tcW w:type="dxa" w:w="3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Поле</w:t>
            </w:r>
          </w:p>
        </w:tc>
        <w:tc>
          <w:tcPr>
            <w:tcW w:type="dxa" w:w="63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Ответ участника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Наименование и ИНН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Контактное лицо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 поставки/оказания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Условия оплаты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Гарантия/SLA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 действия предложения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Доставка/выезды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включены или выделены отдельной строкой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Подтверждение ТЗ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соответствует / перечислены отклонения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4. </w:t>
      </w:r>
      <w:r>
        <w:rPr>
          <w:rFonts w:ascii="Arial" w:hAnsi="Arial"/>
          <w:b/>
          <w:i w:val="0"/>
          <w:color w:val="A9711C"/>
          <w:sz w:val="26"/>
        </w:rPr>
        <w:t>КРИТЕРИИ СОПОСТАВИМОСТИ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Сравнение проводится по техническому соответствию, полной цене с НДС, сроку, условиям оплаты, гарантии/SLA и зафиксированным отклонениям. Неполный ответ сохраняется с предупреждением и не трактуется как соответствующий автоматически.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4680"/>
        <w:gridCol w:w="4680"/>
      </w:tblGrid>
      <w:tr>
        <w:tc>
          <w:tcPr>
            <w:tcW w:type="dxa" w:w="4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Подготовил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4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Проверил форму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b w:val="0"/>
        <w:i w:val="0"/>
        <w:color w:val="6D665D"/>
        <w:sz w:val="17"/>
      </w:rPr>
      <w:t xml:space="preserve">223Expert  ·  демонстрационный контур  ·  страница </w:t>
    </w:r>
    <w:r>
      <w:rPr>
        <w:rFonts w:ascii="Arial" w:hAnsi="Arial"/>
        <w:b w:val="0"/>
        <w:i w:val="0"/>
        <w:color w:val="6D665D"/>
        <w:sz w:val="17"/>
      </w:rPr>
      <w:fldChar w:fldCharType="begin"/>
      <w:instrText xml:space="preserve"> PAGE </w:instrText>
      <w:fldChar w:fldCharType="separate">
        <w:t>1</w:t>
      </w:fldCha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/>
        <w:b/>
        <w:i w:val="0"/>
        <w:color w:val="6D665D"/>
        <w:sz w:val="17"/>
      </w:rPr>
      <w:t>223EXPERT  ·  Запрос коммерческих предложений  ·  DEMO-CASE-02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D1B18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A9711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A9711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B67B2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