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0" w:space="0" w:color="FFF9EF"/>
          <w:left w:val="single" w:sz="0" w:space="0" w:color="FFF9EF"/>
          <w:bottom w:val="single" w:sz="0" w:space="0" w:color="FFF9EF"/>
          <w:right w:val="single" w:sz="0" w:space="0" w:color="FFF9EF"/>
          <w:insideH w:val="single" w:sz="0" w:space="0" w:color="FFF9EF"/>
          <w:insideV w:val="single" w:sz="0" w:space="0" w:color="FFF9EF"/>
        </w:tblBorders>
      </w:tblPr>
      <w:tblGrid>
        <w:gridCol w:w="5350"/>
        <w:gridCol w:w="4010"/>
      </w:tblGrid>
      <w:tr>
        <w:tc>
          <w:tcPr>
            <w:tcW w:type="dxa" w:w="53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spacing w:after="200"/>
            </w:pPr>
            <w:r>
              <w:rPr>
                <w:rFonts w:ascii="Arial" w:hAnsi="Arial"/>
                <w:b/>
                <w:i w:val="0"/>
                <w:color w:val="B67B22"/>
                <w:sz w:val="58"/>
              </w:rPr>
              <w:t>223</w:t>
            </w:r>
            <w:r>
              <w:rPr>
                <w:rFonts w:ascii="Arial" w:hAnsi="Arial"/>
                <w:b/>
                <w:i w:val="0"/>
                <w:color w:val="1D1B18"/>
                <w:sz w:val="58"/>
              </w:rPr>
              <w:t>EXPERT</w:t>
            </w:r>
          </w:p>
          <w:p>
            <w:pPr>
              <w:spacing w:after="140"/>
            </w:pPr>
            <w:r>
              <w:rPr>
                <w:rFonts w:ascii="Arial" w:hAnsi="Arial"/>
                <w:b/>
                <w:i w:val="0"/>
                <w:color w:val="A9711C"/>
                <w:sz w:val="20"/>
              </w:rPr>
              <w:t>ДЕМОНСТРАЦИОННЫЙ ДОКУМЕНТ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1D1B18"/>
                <w:sz w:val="38"/>
              </w:rPr>
              <w:t>ЗАКУПОЧНАЯ ДОКУМЕНТАЦИЯ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i w:val="0"/>
                <w:color w:val="1D1B18"/>
                <w:sz w:val="26"/>
              </w:rPr>
              <w:t>Техническое обслуживание вентиляции и кондиционирования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7"/>
              </w:rPr>
              <w:t>DEMO-CASE-02 · Регулярная услуга</w:t>
            </w:r>
          </w:p>
        </w:tc>
        <w:tc>
          <w:tcPr>
            <w:tcW w:type="dxa" w:w="40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743200" cy="16402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3expert-document-gold-rings-v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6402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Заказчик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ООО «ДЕМО-ЭКСПЛУАТАЦИЯ»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Техническое обслуживание вентиляции и кондиционирования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производственный комплекс Demo-организации, Санкт-Петербург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 месяцев с ежемесячной приемкой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Способ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2 040 000 ₽, включая НДС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1. </w:t>
      </w:r>
      <w:r>
        <w:rPr>
          <w:rFonts w:ascii="Arial" w:hAnsi="Arial"/>
          <w:b/>
          <w:i w:val="0"/>
          <w:color w:val="A9711C"/>
          <w:sz w:val="26"/>
        </w:rPr>
        <w:t>ИНФОРМАЦИОННАЯ КАРТА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Номер Demo-процедуры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ДЕМО-DEMO-CASE-02/2026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Техническое обслуживание вентиляции и кондиционирования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Метод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производственный комплекс Demo-организации, Санкт-Петербург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 месяцев с ежемесячной приемкой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2 040 000 ₽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Критерии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техническое соответствие, цена, срок, гарантия/SLA, риски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2. </w:t>
      </w:r>
      <w:r>
        <w:rPr>
          <w:rFonts w:ascii="Arial" w:hAnsi="Arial"/>
          <w:b/>
          <w:i w:val="0"/>
          <w:color w:val="A9711C"/>
          <w:sz w:val="26"/>
        </w:rPr>
        <w:t>СОСТАВ И ПОРЯДОК ПОДАЧИ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Участник подает сведения о себе, заполненную форму ответа, техническое описание соответствия, цену с НДС, срок, условия оплаты, гарантию/SLA и перечень отклонений. В комплекте документации доступны утвержденные заявка, ТЗ, RFQ, расчет НМЦК, форма сравнения и проект договора.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3. </w:t>
      </w:r>
      <w:r>
        <w:rPr>
          <w:rFonts w:ascii="Arial" w:hAnsi="Arial"/>
          <w:b/>
          <w:i w:val="0"/>
          <w:color w:val="A9711C"/>
          <w:sz w:val="26"/>
        </w:rPr>
        <w:t>ОЦЕНКА И ПРИНЯТИЕ РЕШЕНИЯ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1800"/>
        <w:gridCol w:w="3600"/>
        <w:gridCol w:w="3960"/>
      </w:tblGrid>
      <w:tr>
        <w:trPr>
          <w:tblHeader w:val="true"/>
        </w:trPr>
        <w:tc>
          <w:tcPr>
            <w:tcW w:type="dxa" w:w="18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Критерий</w:t>
            </w:r>
          </w:p>
        </w:tc>
        <w:tc>
          <w:tcPr>
            <w:tcW w:type="dxa" w:w="3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Проверка</w:t>
            </w:r>
          </w:p>
        </w:tc>
        <w:tc>
          <w:tcPr>
            <w:tcW w:type="dxa" w:w="39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Результат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Техника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позиционная матрица ТЗ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соответствует / отклонение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Цена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арифметика формы и НДС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сопоставимая сумма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календарный план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 пределах потребности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Условия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оплата, гарантия/SLA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зафиксированы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Риски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пропуски и ограничения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отражены в сравнении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4. </w:t>
      </w:r>
      <w:r>
        <w:rPr>
          <w:rFonts w:ascii="Arial" w:hAnsi="Arial"/>
          <w:b/>
          <w:i w:val="0"/>
          <w:color w:val="A9711C"/>
          <w:sz w:val="26"/>
        </w:rPr>
        <w:t>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600"/>
        <w:gridCol w:w="5200"/>
        <w:gridCol w:w="3560"/>
      </w:tblGrid>
      <w:tr>
        <w:trPr>
          <w:tblHeader w:val="true"/>
        </w:trPr>
        <w:tc>
          <w:tcPr>
            <w:tcW w:type="dxa" w:w="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№</w:t>
            </w:r>
          </w:p>
        </w:tc>
        <w:tc>
          <w:tcPr>
            <w:tcW w:type="dxa" w:w="52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Документ</w:t>
            </w:r>
          </w:p>
        </w:tc>
        <w:tc>
          <w:tcPr>
            <w:tcW w:type="dxa" w:w="35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Версия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Техническое задание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TS-DEMO-CASE-02-v1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Форма запроса КП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RFQ-DEMO-CASE-02-v1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Обоснование НМЦК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NMCC-DEMO-CASE-02-v1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4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Проект договора с приложениями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CTR-DEMO-CASE-02-v1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5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Форма предложения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OFFER-DEMO-CASE-02-v1</w:t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Закупочная функция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Юридическая проверка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Утверждаю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b w:val="0"/>
        <w:i w:val="0"/>
        <w:color w:val="6D665D"/>
        <w:sz w:val="17"/>
      </w:rPr>
      <w:t xml:space="preserve">223Expert  ·  демонстрационный контур  ·  страница </w:t>
    </w:r>
    <w:r>
      <w:rPr>
        <w:rFonts w:ascii="Arial" w:hAnsi="Arial"/>
        <w:b w:val="0"/>
        <w:i w:val="0"/>
        <w:color w:val="6D665D"/>
        <w:sz w:val="17"/>
      </w:rPr>
      <w:fldChar w:fldCharType="begin"/>
      <w:instrText xml:space="preserve"> PAGE </w:instrText>
      <w:fldChar w:fldCharType="separate">
        <w:t>1</w:t>
      </w:fldCha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/>
        <w:i w:val="0"/>
        <w:color w:val="6D665D"/>
        <w:sz w:val="17"/>
      </w:rPr>
      <w:t>223EXPERT  ·  Закупочная документация  ·  DEMO-CASE-02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D1B1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A9711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A971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67B2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